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6FD" w:rsidRDefault="009406FD" w:rsidP="009406FD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10</w:t>
      </w:r>
    </w:p>
    <w:p w:rsidR="009406FD" w:rsidRPr="00307F1B" w:rsidRDefault="009406FD" w:rsidP="009406FD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MTF-</w:t>
      </w:r>
      <w:proofErr w:type="spellStart"/>
      <w:r w:rsidRPr="00307F1B">
        <w:rPr>
          <w:rFonts w:ascii="Times New Roman" w:hAnsi="Times New Roman"/>
          <w:color w:val="auto"/>
          <w:sz w:val="20"/>
        </w:rPr>
        <w:t>Is</w:t>
      </w:r>
      <w:proofErr w:type="spellEnd"/>
      <w:r w:rsidRPr="00307F1B">
        <w:rPr>
          <w:rFonts w:ascii="Times New Roman" w:hAnsi="Times New Roman"/>
          <w:color w:val="auto"/>
          <w:sz w:val="20"/>
        </w:rPr>
        <w:t xml:space="preserve"> e seus impactos nos objetivos da </w:t>
      </w:r>
      <w:proofErr w:type="spellStart"/>
      <w:r w:rsidRPr="00307F1B">
        <w:rPr>
          <w:rFonts w:ascii="Times New Roman" w:hAnsi="Times New Roman"/>
          <w:color w:val="auto"/>
          <w:sz w:val="20"/>
        </w:rPr>
        <w:t>Orona</w:t>
      </w:r>
      <w:proofErr w:type="spellEnd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001"/>
        <w:gridCol w:w="2433"/>
        <w:gridCol w:w="1594"/>
        <w:gridCol w:w="1328"/>
        <w:gridCol w:w="1032"/>
        <w:gridCol w:w="1106"/>
      </w:tblGrid>
      <w:tr w:rsidR="009406FD" w:rsidRPr="004A6A82" w:rsidTr="002F57A2">
        <w:tc>
          <w:tcPr>
            <w:tcW w:w="1129" w:type="dxa"/>
            <w:vMerge w:val="restart"/>
            <w:shd w:val="clear" w:color="auto" w:fill="BFBFBF" w:themeFill="background1" w:themeFillShade="BF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Grupos de 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Is</w:t>
            </w:r>
            <w:proofErr w:type="spellEnd"/>
          </w:p>
        </w:tc>
        <w:tc>
          <w:tcPr>
            <w:tcW w:w="3395" w:type="dxa"/>
            <w:vMerge w:val="restart"/>
            <w:shd w:val="clear" w:color="auto" w:fill="BFBFBF" w:themeFill="background1" w:themeFillShade="BF"/>
            <w:vAlign w:val="center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Is</w:t>
            </w:r>
            <w:proofErr w:type="spellEnd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 xml:space="preserve"> identificados</w:t>
            </w:r>
          </w:p>
        </w:tc>
        <w:tc>
          <w:tcPr>
            <w:tcW w:w="5104" w:type="dxa"/>
            <w:gridSpan w:val="4"/>
            <w:shd w:val="clear" w:color="auto" w:fill="BFBFBF" w:themeFill="background1" w:themeFillShade="BF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 xml:space="preserve">Impacto nos objetivos da 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Orona</w:t>
            </w:r>
            <w:proofErr w:type="spellEnd"/>
          </w:p>
        </w:tc>
      </w:tr>
      <w:tr w:rsidR="009406FD" w:rsidRPr="004A6A82" w:rsidTr="002F57A2">
        <w:tc>
          <w:tcPr>
            <w:tcW w:w="1129" w:type="dxa"/>
            <w:vMerge/>
            <w:shd w:val="clear" w:color="auto" w:fill="BFBFBF" w:themeFill="background1" w:themeFillShade="BF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</w:p>
        </w:tc>
        <w:tc>
          <w:tcPr>
            <w:tcW w:w="3395" w:type="dxa"/>
            <w:vMerge/>
            <w:shd w:val="clear" w:color="auto" w:fill="BFBFBF" w:themeFill="background1" w:themeFillShade="BF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</w:p>
        </w:tc>
        <w:tc>
          <w:tcPr>
            <w:tcW w:w="1594" w:type="dxa"/>
            <w:shd w:val="clear" w:color="auto" w:fill="BFBFBF" w:themeFill="background1" w:themeFillShade="BF"/>
            <w:vAlign w:val="center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Relacionamento</w:t>
            </w:r>
          </w:p>
        </w:tc>
        <w:tc>
          <w:tcPr>
            <w:tcW w:w="1328" w:type="dxa"/>
            <w:shd w:val="clear" w:color="auto" w:fill="BFBFBF" w:themeFill="background1" w:themeFillShade="BF"/>
            <w:vAlign w:val="center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Alinhamento</w:t>
            </w:r>
          </w:p>
        </w:tc>
        <w:tc>
          <w:tcPr>
            <w:tcW w:w="1076" w:type="dxa"/>
            <w:shd w:val="clear" w:color="auto" w:fill="BFBFBF" w:themeFill="background1" w:themeFillShade="BF"/>
            <w:vAlign w:val="center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Finanças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Qualidade</w:t>
            </w:r>
          </w:p>
        </w:tc>
      </w:tr>
      <w:tr w:rsidR="009406FD" w:rsidRPr="004A6A82" w:rsidTr="002F57A2">
        <w:tc>
          <w:tcPr>
            <w:tcW w:w="1129" w:type="dxa"/>
            <w:vMerge w:val="restart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Formação de equipes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Networking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Projetos colaborativos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Terceirização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P&amp;D em Marketing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 w:val="restart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Brainstorming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Workshops de criatividade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Painéis de Experts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4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Gestão de direitos de propriedade intelectual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5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Gestão de portfolio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 w:val="restart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6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Vigilânica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 tecnológica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Roadmapping</w:t>
            </w:r>
            <w:proofErr w:type="spellEnd"/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Técnica de cenário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</w:tr>
      <w:tr w:rsidR="009406FD" w:rsidRPr="004A6A82" w:rsidTr="002F57A2">
        <w:tc>
          <w:tcPr>
            <w:tcW w:w="1129" w:type="dxa"/>
            <w:vMerge w:val="restart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7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Análise de patentes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Business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Intelligence</w:t>
            </w:r>
            <w:proofErr w:type="spellEnd"/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</w:tr>
      <w:tr w:rsidR="009406FD" w:rsidRPr="004A6A82" w:rsidTr="002F57A2">
        <w:tc>
          <w:tcPr>
            <w:tcW w:w="1129" w:type="dxa"/>
            <w:vMerge w:val="restart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8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Análise de investimentos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</w:tr>
      <w:tr w:rsidR="009406FD" w:rsidRPr="004A6A82" w:rsidTr="002F57A2">
        <w:tc>
          <w:tcPr>
            <w:tcW w:w="1129" w:type="dxa"/>
            <w:vMerge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P&amp;D em Finanças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</w:tr>
      <w:tr w:rsidR="009406FD" w:rsidRPr="004A6A82" w:rsidTr="002F57A2">
        <w:tc>
          <w:tcPr>
            <w:tcW w:w="1129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9</w:t>
            </w:r>
          </w:p>
        </w:tc>
        <w:tc>
          <w:tcPr>
            <w:tcW w:w="3395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Empresa virtual</w:t>
            </w:r>
          </w:p>
        </w:tc>
        <w:tc>
          <w:tcPr>
            <w:tcW w:w="1594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i/>
                <w:sz w:val="20"/>
                <w:lang w:val="pt-BR"/>
              </w:rPr>
              <w:t>Alto</w:t>
            </w:r>
          </w:p>
        </w:tc>
        <w:tc>
          <w:tcPr>
            <w:tcW w:w="1328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Médio</w:t>
            </w:r>
          </w:p>
        </w:tc>
        <w:tc>
          <w:tcPr>
            <w:tcW w:w="107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  <w:tc>
          <w:tcPr>
            <w:tcW w:w="1106" w:type="dxa"/>
          </w:tcPr>
          <w:p w:rsidR="009406FD" w:rsidRPr="004A6A82" w:rsidRDefault="009406FD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Baixo</w:t>
            </w:r>
          </w:p>
        </w:tc>
      </w:tr>
    </w:tbl>
    <w:p w:rsidR="009406FD" w:rsidRPr="004A6A82" w:rsidRDefault="009406FD" w:rsidP="009406FD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 xml:space="preserve">Fonte: os autores (2014) baseado em 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Igartua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et al. (2010).</w:t>
      </w:r>
    </w:p>
    <w:p w:rsidR="009406FD" w:rsidRPr="004A6A82" w:rsidRDefault="009406FD" w:rsidP="009406FD">
      <w:pPr>
        <w:pStyle w:val="Corpodetexto"/>
        <w:spacing w:after="0"/>
        <w:jc w:val="both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>Nota: Os grupos de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são: (1)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cooperação e relacionamentos, (2) Abordagem de gestão de interfaces, (3)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desenvolvimento de criatividade, (4) Gestão de direitos de propriedade intelectual, (5)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pesquisa e desenvolvimento, (6)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tecnologias, (7)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inteligência de mercado, (8)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inovação em finanças, (9)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organizacionais.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6FD"/>
    <w:rsid w:val="003C3397"/>
    <w:rsid w:val="0094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FBC5BE-CC11-4875-B6BD-29D728DF9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06FD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9406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406FD"/>
    <w:rPr>
      <w:lang w:val="en-US"/>
    </w:rPr>
  </w:style>
  <w:style w:type="table" w:styleId="Tabelacomgrade">
    <w:name w:val="Table Grid"/>
    <w:basedOn w:val="Tabelanormal"/>
    <w:uiPriority w:val="39"/>
    <w:rsid w:val="009406FD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9406FD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2014-11-05T13:11:00Z</dcterms:created>
  <dcterms:modified xsi:type="dcterms:W3CDTF">2014-11-05T13:11:00Z</dcterms:modified>
</cp:coreProperties>
</file>